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89E46" w14:textId="77777777" w:rsidR="00AE231C" w:rsidRPr="001246F3" w:rsidRDefault="00CC46E0" w:rsidP="008F3DB0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1246F3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1246F3">
        <w:rPr>
          <w:rFonts w:asciiTheme="minorHAnsi" w:hAnsiTheme="minorHAnsi"/>
          <w:b/>
          <w:bCs/>
          <w:sz w:val="40"/>
          <w:szCs w:val="40"/>
        </w:rPr>
        <w:t xml:space="preserve">High School  </w:t>
      </w:r>
    </w:p>
    <w:p w14:paraId="651C994D" w14:textId="77777777" w:rsidR="00AE231C" w:rsidRPr="001246F3" w:rsidRDefault="00AE231C" w:rsidP="00AE231C">
      <w:pPr>
        <w:jc w:val="center"/>
        <w:rPr>
          <w:rStyle w:val="Heading2Char"/>
          <w:rFonts w:asciiTheme="minorHAnsi" w:hAnsiTheme="minorHAnsi" w:cs="Times New Roman"/>
          <w:i w:val="0"/>
          <w:smallCaps/>
        </w:rPr>
      </w:pPr>
      <w:r w:rsidRPr="001246F3">
        <w:rPr>
          <w:rStyle w:val="Heading2Char"/>
          <w:rFonts w:asciiTheme="minorHAnsi" w:hAnsiTheme="minorHAnsi" w:cs="Times New Roman"/>
          <w:i w:val="0"/>
          <w:smallCaps/>
        </w:rPr>
        <w:t>Course Syllabus</w:t>
      </w:r>
    </w:p>
    <w:p w14:paraId="15320FD1" w14:textId="0DB92575" w:rsidR="0020768D" w:rsidRPr="001246F3" w:rsidRDefault="001246F3" w:rsidP="001246F3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Theme="minorHAnsi" w:hAnsiTheme="minorHAnsi"/>
          <w:i w:val="0"/>
          <w:iCs w:val="0"/>
          <w:sz w:val="24"/>
          <w:szCs w:val="24"/>
        </w:rPr>
      </w:pPr>
      <w:r>
        <w:rPr>
          <w:rFonts w:asciiTheme="minorHAnsi" w:hAnsiTheme="minorHAnsi"/>
          <w:b/>
          <w:bCs/>
          <w:iCs/>
          <w:smallCaps/>
        </w:rPr>
        <w:tab/>
      </w:r>
      <w:r w:rsidR="00AE231C" w:rsidRPr="001246F3">
        <w:rPr>
          <w:rFonts w:asciiTheme="minorHAnsi" w:hAnsiTheme="minorHAnsi"/>
          <w:b/>
          <w:smallCaps/>
        </w:rPr>
        <w:t>Course Title</w:t>
      </w:r>
      <w:r w:rsidR="00A67C4D" w:rsidRPr="001246F3">
        <w:rPr>
          <w:rFonts w:asciiTheme="minorHAnsi" w:hAnsiTheme="minorHAnsi"/>
          <w:smallCaps/>
        </w:rPr>
        <w:tab/>
      </w:r>
      <w:r>
        <w:rPr>
          <w:rFonts w:asciiTheme="minorHAnsi" w:hAnsiTheme="minorHAnsi"/>
          <w:b/>
          <w:bCs/>
        </w:rPr>
        <w:t>AP English Language</w:t>
      </w:r>
      <w:r w:rsidR="00DC72FE">
        <w:rPr>
          <w:rFonts w:asciiTheme="minorHAnsi" w:hAnsiTheme="minorHAnsi"/>
          <w:b/>
          <w:bCs/>
        </w:rPr>
        <w:t xml:space="preserve"> &amp; Comp.</w:t>
      </w:r>
      <w:r w:rsidR="00485EAA" w:rsidRPr="001246F3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ab/>
      </w:r>
      <w:r w:rsidR="00AE231C" w:rsidRPr="001246F3">
        <w:rPr>
          <w:rFonts w:asciiTheme="minorHAnsi" w:hAnsiTheme="minorHAnsi"/>
          <w:b/>
          <w:smallCaps/>
        </w:rPr>
        <w:t>T</w:t>
      </w:r>
      <w:r w:rsidR="003B6719" w:rsidRPr="001246F3">
        <w:rPr>
          <w:rFonts w:asciiTheme="minorHAnsi" w:hAnsiTheme="minorHAnsi"/>
          <w:b/>
          <w:smallCaps/>
        </w:rPr>
        <w:t>erm</w:t>
      </w:r>
      <w:r w:rsidR="00207B8D" w:rsidRPr="001246F3">
        <w:rPr>
          <w:rFonts w:asciiTheme="minorHAnsi" w:hAnsiTheme="minorHAnsi"/>
          <w:smallCaps/>
        </w:rPr>
        <w:tab/>
      </w:r>
      <w:r w:rsidR="0005531A" w:rsidRPr="001246F3">
        <w:rPr>
          <w:rStyle w:val="Heading2Char"/>
          <w:rFonts w:asciiTheme="minorHAnsi" w:hAnsiTheme="minorHAnsi" w:cs="Times New Roman"/>
          <w:i w:val="0"/>
          <w:sz w:val="24"/>
          <w:szCs w:val="24"/>
        </w:rPr>
        <w:t>Fall</w:t>
      </w:r>
      <w:r w:rsidR="004634BF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2016</w:t>
      </w:r>
      <w:r w:rsidR="00AE231C" w:rsidRPr="001246F3">
        <w:rPr>
          <w:rStyle w:val="Heading2Char"/>
          <w:rFonts w:asciiTheme="minorHAnsi" w:hAnsiTheme="minorHAnsi" w:cs="Times New Roman"/>
          <w:i w:val="0"/>
          <w:sz w:val="24"/>
          <w:szCs w:val="24"/>
        </w:rPr>
        <w:br/>
      </w:r>
      <w:r w:rsidR="0020768D" w:rsidRPr="001246F3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Teacher</w:t>
      </w:r>
      <w:r w:rsidR="00A67C4D" w:rsidRPr="001246F3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995D3F" w:rsidRPr="001246F3">
        <w:rPr>
          <w:rStyle w:val="Heading2Char"/>
          <w:rFonts w:asciiTheme="minorHAnsi" w:hAnsiTheme="minorHAnsi" w:cs="Times New Roman"/>
          <w:i w:val="0"/>
          <w:sz w:val="24"/>
          <w:szCs w:val="24"/>
        </w:rPr>
        <w:t>M</w:t>
      </w:r>
      <w:r w:rsidR="00AD1992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r. Brandon Barton </w:t>
      </w:r>
      <w:r w:rsidR="00485EAA" w:rsidRPr="001246F3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ab/>
      </w:r>
      <w:r w:rsidR="00485EAA" w:rsidRPr="001246F3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room</w:t>
      </w:r>
      <w:r w:rsidR="005D36DB" w:rsidRPr="001246F3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 xml:space="preserve"> </w:t>
      </w:r>
      <w:r w:rsidR="00A67C4D" w:rsidRPr="001246F3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#</w:t>
      </w:r>
      <w:r w:rsidR="00207B8D" w:rsidRPr="001246F3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5A5F6E">
        <w:rPr>
          <w:rStyle w:val="Heading2Char"/>
          <w:rFonts w:asciiTheme="minorHAnsi" w:hAnsiTheme="minorHAnsi" w:cs="Times New Roman"/>
          <w:i w:val="0"/>
          <w:sz w:val="24"/>
          <w:szCs w:val="24"/>
        </w:rPr>
        <w:t>112</w:t>
      </w:r>
    </w:p>
    <w:p w14:paraId="3C958D88" w14:textId="77777777" w:rsidR="00710FC7" w:rsidRPr="001246F3" w:rsidRDefault="00710FC7" w:rsidP="0020768D">
      <w:pPr>
        <w:rPr>
          <w:rFonts w:asciiTheme="minorHAnsi" w:hAnsiTheme="minorHAnsi"/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1246F3" w14:paraId="75CFC40C" w14:textId="77777777" w:rsidTr="00B36D85">
        <w:tc>
          <w:tcPr>
            <w:tcW w:w="2160" w:type="dxa"/>
            <w:vAlign w:val="center"/>
          </w:tcPr>
          <w:p w14:paraId="5063749F" w14:textId="77777777" w:rsidR="00AE231C" w:rsidRPr="001246F3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1246F3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127DC5EA" w14:textId="77777777" w:rsidR="00D76244" w:rsidRPr="001246F3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6F5A49D8" w14:textId="12DEBB12" w:rsidR="001246F3" w:rsidRPr="000C2DBB" w:rsidRDefault="004634BF" w:rsidP="004634BF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1246F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</w:t>
              </w:r>
              <w:r w:rsidR="001246F3" w:rsidRPr="00EC440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randon.barton@bufordcityschools.org</w:t>
              </w:r>
            </w:hyperlink>
            <w:r w:rsidR="001246F3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BD1B98">
              <w:rPr>
                <w:rFonts w:asciiTheme="minorHAnsi" w:hAnsiTheme="minorHAnsi"/>
                <w:sz w:val="20"/>
                <w:szCs w:val="20"/>
              </w:rPr>
              <w:t>bhsbarton.weebly.com</w:t>
            </w:r>
          </w:p>
        </w:tc>
      </w:tr>
      <w:tr w:rsidR="00B36D85" w:rsidRPr="001246F3" w14:paraId="6397167F" w14:textId="77777777" w:rsidTr="003A3AD9">
        <w:tc>
          <w:tcPr>
            <w:tcW w:w="2160" w:type="dxa"/>
            <w:vAlign w:val="center"/>
          </w:tcPr>
          <w:p w14:paraId="3EA105CF" w14:textId="77777777" w:rsidR="00B36D85" w:rsidRPr="001246F3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1246F3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42689D02" w14:textId="77777777" w:rsidR="00B36D85" w:rsidRPr="001246F3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1246F3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425C2227" w14:textId="10744798" w:rsidR="00B36D85" w:rsidRPr="001246F3" w:rsidRDefault="00AD1992" w:rsidP="000C2DB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Mr. Barton </w:t>
            </w:r>
            <w:r w:rsidR="000C2DBB" w:rsidRPr="00DC03AC">
              <w:rPr>
                <w:rFonts w:asciiTheme="minorHAnsi" w:hAnsiTheme="minorHAnsi"/>
                <w:sz w:val="18"/>
                <w:szCs w:val="18"/>
              </w:rPr>
              <w:t>will be available b</w:t>
            </w:r>
            <w:r w:rsidR="000C2DBB">
              <w:rPr>
                <w:rFonts w:asciiTheme="minorHAnsi" w:hAnsiTheme="minorHAnsi"/>
                <w:sz w:val="18"/>
                <w:szCs w:val="18"/>
              </w:rPr>
              <w:t xml:space="preserve">efore </w:t>
            </w:r>
            <w:r w:rsidR="000C2DBB" w:rsidRPr="00370C32">
              <w:rPr>
                <w:rFonts w:asciiTheme="minorHAnsi" w:hAnsiTheme="minorHAnsi"/>
                <w:sz w:val="18"/>
                <w:szCs w:val="18"/>
              </w:rPr>
              <w:t xml:space="preserve">school </w:t>
            </w:r>
            <w:r w:rsidR="000C2DBB">
              <w:rPr>
                <w:rFonts w:asciiTheme="minorHAnsi" w:hAnsiTheme="minorHAnsi"/>
                <w:sz w:val="18"/>
                <w:szCs w:val="18"/>
              </w:rPr>
              <w:t xml:space="preserve">TR </w:t>
            </w:r>
            <w:r w:rsidR="000C2DBB" w:rsidRPr="00370C32">
              <w:rPr>
                <w:rFonts w:asciiTheme="minorHAnsi" w:hAnsiTheme="minorHAnsi"/>
                <w:sz w:val="18"/>
                <w:szCs w:val="18"/>
              </w:rPr>
              <w:t>(7:00am-7</w:t>
            </w:r>
            <w:proofErr w:type="gramStart"/>
            <w:r w:rsidR="000C2DBB" w:rsidRPr="00370C32">
              <w:rPr>
                <w:rFonts w:asciiTheme="minorHAnsi" w:hAnsiTheme="minorHAnsi"/>
                <w:sz w:val="18"/>
                <w:szCs w:val="18"/>
              </w:rPr>
              <w:t>:30am</w:t>
            </w:r>
            <w:proofErr w:type="gramEnd"/>
            <w:r w:rsidR="000C2DBB" w:rsidRPr="00370C32">
              <w:rPr>
                <w:rFonts w:asciiTheme="minorHAnsi" w:hAnsiTheme="minorHAnsi"/>
                <w:sz w:val="18"/>
                <w:szCs w:val="18"/>
              </w:rPr>
              <w:t>)</w:t>
            </w:r>
            <w:r w:rsidR="000C2DBB">
              <w:rPr>
                <w:rFonts w:asciiTheme="minorHAnsi" w:hAnsiTheme="minorHAnsi"/>
                <w:sz w:val="18"/>
                <w:szCs w:val="18"/>
              </w:rPr>
              <w:t xml:space="preserve"> or after school MW (2:40pm-4:00</w:t>
            </w:r>
            <w:r w:rsidR="000C2DBB" w:rsidRPr="00DC03AC">
              <w:rPr>
                <w:rFonts w:asciiTheme="minorHAnsi" w:hAnsiTheme="minorHAnsi"/>
                <w:sz w:val="18"/>
                <w:szCs w:val="18"/>
              </w:rPr>
              <w:t xml:space="preserve">pm).  </w:t>
            </w:r>
          </w:p>
        </w:tc>
      </w:tr>
    </w:tbl>
    <w:p w14:paraId="3646E84B" w14:textId="77777777" w:rsidR="00AE231C" w:rsidRDefault="00AE231C" w:rsidP="008F3DB0">
      <w:pPr>
        <w:pStyle w:val="Heading3"/>
        <w:spacing w:before="120" w:after="0"/>
        <w:rPr>
          <w:rFonts w:asciiTheme="minorHAnsi" w:hAnsiTheme="minorHAnsi" w:cs="Times New Roman"/>
          <w:smallCaps/>
          <w:sz w:val="28"/>
          <w:szCs w:val="28"/>
        </w:rPr>
      </w:pPr>
      <w:r w:rsidRPr="001246F3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1246F3">
        <w:rPr>
          <w:rFonts w:asciiTheme="minorHAnsi" w:hAnsiTheme="minorHAnsi" w:cs="Times New Roman"/>
          <w:smallCaps/>
          <w:sz w:val="28"/>
          <w:szCs w:val="28"/>
        </w:rPr>
        <w:t>Description</w:t>
      </w:r>
    </w:p>
    <w:p w14:paraId="594A5D23" w14:textId="54286576" w:rsidR="003A3AD9" w:rsidRPr="00476890" w:rsidRDefault="003A3AD9" w:rsidP="003A3AD9">
      <w:pPr>
        <w:rPr>
          <w:sz w:val="20"/>
          <w:szCs w:val="20"/>
        </w:rPr>
      </w:pPr>
      <w:r w:rsidRPr="00476890">
        <w:rPr>
          <w:sz w:val="20"/>
          <w:szCs w:val="20"/>
        </w:rPr>
        <w:t xml:space="preserve">AP English </w:t>
      </w:r>
      <w:r w:rsidR="000C2DBB">
        <w:rPr>
          <w:sz w:val="20"/>
          <w:szCs w:val="20"/>
        </w:rPr>
        <w:t xml:space="preserve">Language </w:t>
      </w:r>
      <w:r w:rsidR="00DC72FE">
        <w:rPr>
          <w:sz w:val="20"/>
          <w:szCs w:val="20"/>
        </w:rPr>
        <w:t xml:space="preserve">&amp; Composition </w:t>
      </w:r>
      <w:r w:rsidRPr="00476890">
        <w:rPr>
          <w:sz w:val="20"/>
          <w:szCs w:val="20"/>
        </w:rPr>
        <w:t xml:space="preserve">is an advanced, intensified course, designed using the </w:t>
      </w:r>
      <w:r w:rsidR="00AD511F">
        <w:rPr>
          <w:sz w:val="20"/>
          <w:szCs w:val="20"/>
        </w:rPr>
        <w:t xml:space="preserve">Georgia Performance Standards for American Literature and the College Board’s Course Requirements for AP Language.  </w:t>
      </w:r>
      <w:r w:rsidRPr="00476890">
        <w:rPr>
          <w:sz w:val="20"/>
          <w:szCs w:val="20"/>
        </w:rPr>
        <w:t xml:space="preserve">The course engages students in becoming skilled readers of prose written in a variety of periods, disciplines, and rhetorical contexts and in becoming skilled writers who compose for a variety of purposes. </w:t>
      </w:r>
    </w:p>
    <w:p w14:paraId="14E3E408" w14:textId="77777777" w:rsidR="00020637" w:rsidRPr="003A3AD9" w:rsidRDefault="00AE231C" w:rsidP="003A3AD9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1246F3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1246F3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1246F3" w14:paraId="43B7EA11" w14:textId="77777777" w:rsidTr="00020637">
        <w:tc>
          <w:tcPr>
            <w:tcW w:w="5148" w:type="dxa"/>
            <w:vAlign w:val="center"/>
          </w:tcPr>
          <w:p w14:paraId="05AFB1FE" w14:textId="77777777" w:rsidR="00020637" w:rsidRPr="001246F3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1246F3">
              <w:rPr>
                <w:rFonts w:asciiTheme="minorHAnsi" w:hAnsiTheme="minorHAnsi"/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404C21C2" w14:textId="77777777" w:rsidR="00020637" w:rsidRPr="001246F3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1246F3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1246F3" w14:paraId="31BF004E" w14:textId="77777777" w:rsidTr="00020637">
        <w:tc>
          <w:tcPr>
            <w:tcW w:w="5148" w:type="dxa"/>
          </w:tcPr>
          <w:p w14:paraId="019B58CF" w14:textId="77777777" w:rsidR="003A3AD9" w:rsidRPr="00DC03AC" w:rsidRDefault="003A3AD9" w:rsidP="003A3AD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 xml:space="preserve">The GPS (Georgia Performance Standards) can be accessed online at </w:t>
            </w:r>
            <w:hyperlink r:id="rId10" w:history="1">
              <w:r w:rsidRPr="00DC03A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https://www.georgiastandards.org</w:t>
              </w:r>
            </w:hyperlink>
            <w:r w:rsidRPr="00DC03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FAAAD61" w14:textId="4A1E5AF3" w:rsidR="0005531A" w:rsidRPr="001246F3" w:rsidRDefault="003A3AD9" w:rsidP="00DC72FE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 xml:space="preserve">A link to the AP </w:t>
            </w:r>
            <w:r w:rsidR="00DC72FE">
              <w:rPr>
                <w:rFonts w:asciiTheme="minorHAnsi" w:hAnsiTheme="minorHAnsi"/>
                <w:sz w:val="20"/>
                <w:szCs w:val="20"/>
              </w:rPr>
              <w:t>English Language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 xml:space="preserve"> Course </w:t>
            </w:r>
            <w:r w:rsidR="00F72E8D">
              <w:rPr>
                <w:rFonts w:asciiTheme="minorHAnsi" w:hAnsiTheme="minorHAnsi"/>
                <w:sz w:val="20"/>
                <w:szCs w:val="20"/>
              </w:rPr>
              <w:t>Requirements can be found on my webpage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1" w:history="1">
              <w:r w:rsidR="003975FA" w:rsidRPr="00984FC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http://www.bhsbarton.weebly.com</w:t>
              </w:r>
            </w:hyperlink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72FE">
              <w:t xml:space="preserve"> </w:t>
            </w:r>
            <w:proofErr w:type="gramEnd"/>
          </w:p>
        </w:tc>
        <w:tc>
          <w:tcPr>
            <w:tcW w:w="5148" w:type="dxa"/>
          </w:tcPr>
          <w:p w14:paraId="11CA3437" w14:textId="77777777" w:rsidR="00AD511F" w:rsidRDefault="00AD511F" w:rsidP="00AD51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Survey of American Literature</w:t>
            </w:r>
          </w:p>
          <w:p w14:paraId="1541D5FC" w14:textId="77777777" w:rsidR="00AD511F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 w:rsidRPr="00AD511F">
              <w:rPr>
                <w:rFonts w:asciiTheme="minorHAnsi" w:hAnsiTheme="minorHAnsi"/>
                <w:sz w:val="20"/>
                <w:szCs w:val="20"/>
              </w:rPr>
              <w:t>Puritan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Era, Colonial Period, Romanticism, Transcendentalism, Transitional Period (Civil War), Realism, Naturalism, Contemporary Era (Modernism, Postmodernism)</w:t>
            </w:r>
          </w:p>
          <w:p w14:paraId="19BADA46" w14:textId="77777777" w:rsidR="003A3AD9" w:rsidRDefault="003A3AD9" w:rsidP="00AD51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D511F">
              <w:rPr>
                <w:rFonts w:asciiTheme="minorHAnsi" w:hAnsiTheme="minorHAnsi"/>
                <w:sz w:val="20"/>
                <w:szCs w:val="20"/>
                <w:u w:val="single"/>
              </w:rPr>
              <w:t>Rhetorical Analysis of Non-Fiction Prose</w:t>
            </w:r>
          </w:p>
          <w:p w14:paraId="30546BF9" w14:textId="77777777" w:rsidR="00AD511F" w:rsidRPr="00AD511F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Analysis, Argument, and Synthesis</w:t>
            </w:r>
          </w:p>
        </w:tc>
      </w:tr>
    </w:tbl>
    <w:p w14:paraId="077B89CE" w14:textId="77777777" w:rsidR="00AE231C" w:rsidRPr="001246F3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1246F3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1246F3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1246F3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RPr="001246F3" w14:paraId="6E238576" w14:textId="77777777" w:rsidTr="003A3AD9">
        <w:tc>
          <w:tcPr>
            <w:tcW w:w="5148" w:type="dxa"/>
            <w:vAlign w:val="center"/>
          </w:tcPr>
          <w:p w14:paraId="296252AB" w14:textId="77777777" w:rsidR="008F3DB0" w:rsidRPr="001246F3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3C0A31C1" w14:textId="77777777" w:rsidR="008F3DB0" w:rsidRPr="001246F3" w:rsidRDefault="008F3DB0" w:rsidP="003A3AD9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1246F3" w14:paraId="3B55AB51" w14:textId="77777777" w:rsidTr="00DC72FE">
        <w:trPr>
          <w:trHeight w:val="1358"/>
        </w:trPr>
        <w:tc>
          <w:tcPr>
            <w:tcW w:w="5148" w:type="dxa"/>
          </w:tcPr>
          <w:p w14:paraId="63C40397" w14:textId="62AED864" w:rsidR="008F3DB0" w:rsidRPr="00AD1992" w:rsidRDefault="003A3AD9" w:rsidP="007D0A9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McDougal </w:t>
            </w:r>
            <w:proofErr w:type="spellStart"/>
            <w:r>
              <w:rPr>
                <w:i/>
                <w:sz w:val="20"/>
                <w:szCs w:val="20"/>
              </w:rPr>
              <w:t>Littell</w:t>
            </w:r>
            <w:proofErr w:type="spellEnd"/>
            <w:r>
              <w:rPr>
                <w:i/>
                <w:sz w:val="20"/>
                <w:szCs w:val="20"/>
              </w:rPr>
              <w:t xml:space="preserve"> Literature:  American Literature</w:t>
            </w:r>
            <w:r>
              <w:rPr>
                <w:sz w:val="20"/>
                <w:szCs w:val="20"/>
              </w:rPr>
              <w:t xml:space="preserve"> (McDougall </w:t>
            </w:r>
            <w:proofErr w:type="spellStart"/>
            <w:r>
              <w:rPr>
                <w:sz w:val="20"/>
                <w:szCs w:val="20"/>
              </w:rPr>
              <w:t>Littell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Pr="001959A3">
              <w:rPr>
                <w:i/>
                <w:sz w:val="20"/>
                <w:szCs w:val="20"/>
              </w:rPr>
              <w:t>The Norton Reader:  An Anthology of Nonfiction</w:t>
            </w:r>
            <w:r>
              <w:rPr>
                <w:sz w:val="20"/>
                <w:szCs w:val="20"/>
              </w:rPr>
              <w:t xml:space="preserve">  (Norton), </w:t>
            </w:r>
            <w:r>
              <w:rPr>
                <w:i/>
                <w:sz w:val="20"/>
                <w:szCs w:val="20"/>
              </w:rPr>
              <w:t>The Great Gatsby</w:t>
            </w:r>
            <w:r w:rsidR="003975FA">
              <w:rPr>
                <w:sz w:val="20"/>
                <w:szCs w:val="20"/>
              </w:rPr>
              <w:t xml:space="preserve"> (Fitzgerald)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The Scarlet Letter</w:t>
            </w:r>
            <w:r>
              <w:rPr>
                <w:sz w:val="20"/>
                <w:szCs w:val="20"/>
              </w:rPr>
              <w:t xml:space="preserve"> (Hawthorne), </w:t>
            </w:r>
            <w:r>
              <w:rPr>
                <w:i/>
                <w:sz w:val="20"/>
                <w:szCs w:val="20"/>
              </w:rPr>
              <w:t>Maggie:  A Girl of the Streets</w:t>
            </w:r>
            <w:r w:rsidR="007D0A94">
              <w:rPr>
                <w:sz w:val="20"/>
                <w:szCs w:val="20"/>
              </w:rPr>
              <w:t xml:space="preserve"> (Crane)</w:t>
            </w:r>
            <w:r w:rsidR="003975FA">
              <w:rPr>
                <w:sz w:val="20"/>
                <w:szCs w:val="20"/>
              </w:rPr>
              <w:t xml:space="preserve">, </w:t>
            </w:r>
            <w:r w:rsidR="003975FA">
              <w:rPr>
                <w:i/>
                <w:sz w:val="20"/>
                <w:szCs w:val="20"/>
              </w:rPr>
              <w:t>The Unvanquished</w:t>
            </w:r>
            <w:r w:rsidR="003975FA">
              <w:rPr>
                <w:sz w:val="20"/>
                <w:szCs w:val="20"/>
              </w:rPr>
              <w:t xml:space="preserve"> (Faulkner), </w:t>
            </w:r>
            <w:r w:rsidR="003975FA">
              <w:rPr>
                <w:i/>
                <w:sz w:val="20"/>
                <w:szCs w:val="20"/>
              </w:rPr>
              <w:t>Walden</w:t>
            </w:r>
            <w:r w:rsidR="003975FA">
              <w:rPr>
                <w:sz w:val="20"/>
                <w:szCs w:val="20"/>
              </w:rPr>
              <w:t xml:space="preserve"> (Thoreau)</w:t>
            </w:r>
            <w:r w:rsidR="00AD1992">
              <w:rPr>
                <w:sz w:val="20"/>
                <w:szCs w:val="20"/>
              </w:rPr>
              <w:t xml:space="preserve">, </w:t>
            </w:r>
            <w:r w:rsidR="00AD1992">
              <w:rPr>
                <w:i/>
                <w:sz w:val="20"/>
                <w:szCs w:val="20"/>
              </w:rPr>
              <w:t>In Cold Blood</w:t>
            </w:r>
            <w:r w:rsidR="00AD1992">
              <w:rPr>
                <w:sz w:val="20"/>
                <w:szCs w:val="20"/>
              </w:rPr>
              <w:t xml:space="preserve"> (Capote)</w:t>
            </w:r>
          </w:p>
        </w:tc>
        <w:tc>
          <w:tcPr>
            <w:tcW w:w="5148" w:type="dxa"/>
          </w:tcPr>
          <w:p w14:paraId="71CA9E48" w14:textId="77777777" w:rsidR="003A3AD9" w:rsidRPr="00DC03AC" w:rsidRDefault="003A3AD9" w:rsidP="003A3AD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Assigned reading material (book or handout)</w:t>
            </w:r>
          </w:p>
          <w:p w14:paraId="0527159D" w14:textId="77777777" w:rsidR="003A3AD9" w:rsidRPr="00DC03AC" w:rsidRDefault="003A3AD9" w:rsidP="003A3AD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Pen, pencil, paper, highlighters, and eraser</w:t>
            </w:r>
          </w:p>
          <w:p w14:paraId="4774D96A" w14:textId="77777777" w:rsidR="003A3AD9" w:rsidRDefault="003A3AD9" w:rsidP="003A3AD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“Post-It” notes or tabs</w:t>
            </w:r>
          </w:p>
          <w:p w14:paraId="68C585E1" w14:textId="77777777" w:rsidR="003A3AD9" w:rsidRDefault="003A3AD9" w:rsidP="003A3AD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Flash Drive</w:t>
            </w:r>
          </w:p>
          <w:p w14:paraId="7CAE08CA" w14:textId="77777777" w:rsidR="006F7026" w:rsidRPr="00DC03AC" w:rsidRDefault="006F7026" w:rsidP="003A3AD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Composition Notebook (Journal)</w:t>
            </w:r>
          </w:p>
          <w:p w14:paraId="3B94177B" w14:textId="77777777" w:rsidR="008F3DB0" w:rsidRPr="003A3AD9" w:rsidRDefault="008F3DB0" w:rsidP="003A3AD9">
            <w:pPr>
              <w:tabs>
                <w:tab w:val="left" w:pos="540"/>
              </w:tabs>
              <w:spacing w:after="60"/>
              <w:ind w:left="8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09A0FE6" w14:textId="77777777" w:rsidR="005A556C" w:rsidRPr="001246F3" w:rsidRDefault="005A556C" w:rsidP="004B0EB7">
      <w:pPr>
        <w:spacing w:before="180"/>
        <w:rPr>
          <w:rFonts w:asciiTheme="minorHAnsi" w:hAnsiTheme="minorHAnsi"/>
          <w:b/>
        </w:rPr>
      </w:pPr>
      <w:r w:rsidRPr="001246F3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1246F3" w14:paraId="4459EE54" w14:textId="77777777" w:rsidTr="005A556C">
        <w:tc>
          <w:tcPr>
            <w:tcW w:w="3637" w:type="dxa"/>
            <w:vAlign w:val="center"/>
          </w:tcPr>
          <w:p w14:paraId="1160E3B8" w14:textId="77777777" w:rsidR="005A556C" w:rsidRPr="001246F3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4D0CB24E" w14:textId="77777777" w:rsidR="005A556C" w:rsidRPr="001246F3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7B213778" w14:textId="77777777" w:rsidR="005A556C" w:rsidRPr="001246F3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1246F3" w14:paraId="562782F2" w14:textId="77777777" w:rsidTr="005A556C">
        <w:tc>
          <w:tcPr>
            <w:tcW w:w="3637" w:type="dxa"/>
          </w:tcPr>
          <w:p w14:paraId="4918F08B" w14:textId="77777777" w:rsidR="00AD511F" w:rsidRPr="00DC03AC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Benchmark Assessments</w:t>
            </w:r>
          </w:p>
          <w:p w14:paraId="5CD0F124" w14:textId="77777777" w:rsidR="00AD511F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Reading Quizzes</w:t>
            </w:r>
          </w:p>
          <w:p w14:paraId="2074D9ED" w14:textId="6E14BEEE" w:rsidR="0081242B" w:rsidRPr="00DC03AC" w:rsidRDefault="0081242B" w:rsidP="00AD51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In-Class Quick Writes</w:t>
            </w:r>
          </w:p>
          <w:p w14:paraId="56BFDA74" w14:textId="77777777" w:rsidR="00AD511F" w:rsidRPr="00DC03AC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In-Class Essays</w:t>
            </w:r>
          </w:p>
          <w:p w14:paraId="192C6EF5" w14:textId="77777777" w:rsidR="00AD511F" w:rsidRPr="00DC03AC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Performance Essay</w:t>
            </w:r>
          </w:p>
          <w:p w14:paraId="58A9662C" w14:textId="77777777" w:rsidR="00AD511F" w:rsidRPr="00DC03AC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Out-of-Class Essays</w:t>
            </w:r>
          </w:p>
          <w:p w14:paraId="75C19686" w14:textId="77777777" w:rsidR="005A556C" w:rsidRPr="001246F3" w:rsidRDefault="00AD511F" w:rsidP="00AD511F">
            <w:pPr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Unit Tests</w:t>
            </w:r>
          </w:p>
        </w:tc>
        <w:tc>
          <w:tcPr>
            <w:tcW w:w="3187" w:type="dxa"/>
          </w:tcPr>
          <w:p w14:paraId="1EB88C24" w14:textId="77777777" w:rsidR="00AD511F" w:rsidRPr="00DC03AC" w:rsidRDefault="00AD511F" w:rsidP="0081242B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Benchmarks (30%)</w:t>
            </w:r>
          </w:p>
          <w:p w14:paraId="28E5057D" w14:textId="71680C66" w:rsidR="00AD511F" w:rsidRPr="00DC03AC" w:rsidRDefault="0081242B" w:rsidP="00AD511F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Assessments (35</w:t>
            </w:r>
            <w:r w:rsidR="00AD511F" w:rsidRPr="00DC03AC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75106007" w14:textId="0A74D756" w:rsidR="00AD511F" w:rsidRPr="00DC03AC" w:rsidRDefault="0081242B" w:rsidP="00AD511F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</w:t>
            </w:r>
            <w:r w:rsidR="00AD511F" w:rsidRPr="00DC03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(35</w:t>
            </w:r>
            <w:r w:rsidR="00AD511F" w:rsidRPr="00DC03AC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14:paraId="1040E1A9" w14:textId="3F75ACD9" w:rsidR="00AD511F" w:rsidRPr="00DC03AC" w:rsidRDefault="00AD511F" w:rsidP="00AD511F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41DC047" w14:textId="77777777" w:rsidR="0078704B" w:rsidRPr="001246F3" w:rsidRDefault="00AD511F" w:rsidP="00AD511F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NOTE:  Assignments that are not completed by the announced due date are worth only 70% of the grade earned.</w:t>
            </w:r>
          </w:p>
        </w:tc>
        <w:tc>
          <w:tcPr>
            <w:tcW w:w="3472" w:type="dxa"/>
          </w:tcPr>
          <w:p w14:paraId="246619E5" w14:textId="77777777" w:rsidR="00AD511F" w:rsidRPr="00DC03AC" w:rsidRDefault="00AD511F" w:rsidP="00AD511F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A: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7BFC1F35" w14:textId="77777777" w:rsidR="00AD511F" w:rsidRPr="00DC03AC" w:rsidRDefault="00AD511F" w:rsidP="00AD511F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12463D3A" w14:textId="77777777" w:rsidR="00AD511F" w:rsidRPr="00DC03AC" w:rsidRDefault="00AD511F" w:rsidP="00AD511F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C: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DC03AC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  <w:p w14:paraId="2BA78F0C" w14:textId="77777777" w:rsidR="005A556C" w:rsidRPr="001246F3" w:rsidRDefault="00AD511F" w:rsidP="00AD511F">
            <w:pPr>
              <w:spacing w:after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(A student must have a grade of 70 or higher in order to receive the AP bonus of 10 points at the end of the semester.)</w:t>
            </w:r>
          </w:p>
        </w:tc>
      </w:tr>
    </w:tbl>
    <w:p w14:paraId="44D7519C" w14:textId="77777777" w:rsidR="004E613A" w:rsidRPr="001246F3" w:rsidRDefault="004B0EB7" w:rsidP="004B0EB7">
      <w:pPr>
        <w:spacing w:before="180"/>
        <w:rPr>
          <w:rFonts w:asciiTheme="minorHAnsi" w:hAnsiTheme="minorHAnsi"/>
          <w:b/>
        </w:rPr>
      </w:pPr>
      <w:r w:rsidRPr="001246F3">
        <w:rPr>
          <w:rFonts w:asciiTheme="minorHAnsi" w:hAnsiTheme="minorHAnsi"/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1246F3" w14:paraId="3C9209BE" w14:textId="77777777" w:rsidTr="00D76244">
        <w:tc>
          <w:tcPr>
            <w:tcW w:w="5148" w:type="dxa"/>
          </w:tcPr>
          <w:p w14:paraId="1362A365" w14:textId="77777777" w:rsidR="00D76244" w:rsidRPr="001246F3" w:rsidRDefault="00A04BCF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 xml:space="preserve">Expectations for </w:t>
            </w:r>
            <w:r w:rsidR="00D76244" w:rsidRPr="001246F3">
              <w:rPr>
                <w:rFonts w:asciiTheme="minorHAnsi" w:hAnsiTheme="minorHAnsi"/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4A230560" w14:textId="77777777" w:rsidR="00D76244" w:rsidRPr="001246F3" w:rsidRDefault="004B0EB7" w:rsidP="005A55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46F3">
              <w:rPr>
                <w:rFonts w:asciiTheme="minorHAnsi" w:hAnsiTheme="minorHAnsi"/>
                <w:b/>
                <w:sz w:val="20"/>
                <w:szCs w:val="20"/>
              </w:rPr>
              <w:t>Additional Requirements/Resources</w:t>
            </w:r>
          </w:p>
        </w:tc>
      </w:tr>
      <w:tr w:rsidR="00AD511F" w:rsidRPr="001246F3" w14:paraId="52C6DD6D" w14:textId="77777777" w:rsidTr="00D76244">
        <w:tc>
          <w:tcPr>
            <w:tcW w:w="5148" w:type="dxa"/>
          </w:tcPr>
          <w:p w14:paraId="498C9E02" w14:textId="3AEBE52D" w:rsidR="00AD511F" w:rsidRPr="001246F3" w:rsidRDefault="00DC72FE" w:rsidP="00DC72FE">
            <w:pPr>
              <w:pStyle w:val="ListParagraph"/>
              <w:tabs>
                <w:tab w:val="left" w:pos="540"/>
              </w:tabs>
              <w:spacing w:after="60"/>
              <w:ind w:left="8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Active reading, deep thinking, and both informal and</w:t>
            </w:r>
            <w:r w:rsidR="00AD511F" w:rsidRPr="00DC03AC">
              <w:rPr>
                <w:rFonts w:asciiTheme="minorHAnsi" w:hAnsiTheme="minorHAnsi"/>
                <w:sz w:val="20"/>
                <w:szCs w:val="20"/>
              </w:rPr>
              <w:t xml:space="preserve"> formal writing are the essen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tial components of the course. </w:t>
            </w:r>
            <w:r w:rsidR="00AD511F" w:rsidRPr="00DC03AC">
              <w:rPr>
                <w:rFonts w:asciiTheme="minorHAnsi" w:hAnsiTheme="minorHAnsi"/>
                <w:sz w:val="20"/>
                <w:szCs w:val="20"/>
              </w:rPr>
              <w:t>Students enrolled in AP English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Lang.</w:t>
            </w:r>
            <w:r w:rsidR="00AD511F" w:rsidRPr="00DC03AC">
              <w:rPr>
                <w:rFonts w:asciiTheme="minorHAnsi" w:hAnsiTheme="minorHAnsi"/>
                <w:sz w:val="20"/>
                <w:szCs w:val="20"/>
              </w:rPr>
              <w:t xml:space="preserve"> are expected to perform in a manner that exemplifies their advanced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status</w:t>
            </w:r>
            <w:r w:rsidR="00AD511F" w:rsidRPr="00DC03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14:paraId="3296805A" w14:textId="105C951F" w:rsidR="00AD511F" w:rsidRPr="00AD511F" w:rsidRDefault="00AD511F" w:rsidP="00DC72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Students enrolled in AP English</w:t>
            </w:r>
            <w:r w:rsidR="00DC72FE">
              <w:rPr>
                <w:rFonts w:asciiTheme="minorHAnsi" w:hAnsiTheme="minorHAnsi"/>
                <w:b/>
                <w:sz w:val="20"/>
                <w:szCs w:val="20"/>
              </w:rPr>
              <w:t xml:space="preserve"> Language</w:t>
            </w: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 xml:space="preserve"> will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be required to take the AP L</w:t>
            </w:r>
            <w:r w:rsidR="00DC72FE">
              <w:rPr>
                <w:rFonts w:asciiTheme="minorHAnsi" w:hAnsiTheme="minorHAnsi"/>
                <w:b/>
                <w:sz w:val="20"/>
                <w:szCs w:val="20"/>
              </w:rPr>
              <w:t xml:space="preserve">anguage </w:t>
            </w:r>
            <w:r w:rsidR="003D1626">
              <w:rPr>
                <w:rFonts w:asciiTheme="minorHAnsi" w:hAnsiTheme="minorHAnsi"/>
                <w:b/>
                <w:sz w:val="20"/>
                <w:szCs w:val="20"/>
              </w:rPr>
              <w:t>Exam in May 2017</w:t>
            </w:r>
            <w:bookmarkStart w:id="0" w:name="_GoBack"/>
            <w:bookmarkEnd w:id="0"/>
            <w:r w:rsidRPr="00DC03AC">
              <w:rPr>
                <w:rFonts w:asciiTheme="minorHAnsi" w:hAnsiTheme="minorHAnsi"/>
                <w:b/>
                <w:sz w:val="20"/>
                <w:szCs w:val="20"/>
              </w:rPr>
              <w:t>; a passing score on the AP Exam</w:t>
            </w:r>
            <w:r w:rsidR="000E45FA">
              <w:rPr>
                <w:rFonts w:asciiTheme="minorHAnsi" w:hAnsiTheme="minorHAnsi"/>
                <w:b/>
                <w:sz w:val="20"/>
                <w:szCs w:val="20"/>
              </w:rPr>
              <w:t xml:space="preserve"> (3 or higher)</w:t>
            </w:r>
            <w:r w:rsidRPr="00DC03AC">
              <w:rPr>
                <w:rFonts w:asciiTheme="minorHAnsi" w:hAnsiTheme="minorHAnsi"/>
                <w:b/>
                <w:sz w:val="20"/>
                <w:szCs w:val="20"/>
              </w:rPr>
              <w:t xml:space="preserve"> represents the potential for college credit.</w:t>
            </w:r>
          </w:p>
        </w:tc>
      </w:tr>
    </w:tbl>
    <w:p w14:paraId="32298B8B" w14:textId="77777777" w:rsidR="00AE231C" w:rsidRDefault="00130CAE" w:rsidP="007D0A94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  <w:r w:rsidRPr="001246F3"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  <w:lastRenderedPageBreak/>
        <w:t>The</w:t>
      </w:r>
      <w:r w:rsidR="005E58D8" w:rsidRPr="001246F3"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  <w:t xml:space="preserve"> syllabus may be updated as needed throughout the semester.</w:t>
      </w:r>
    </w:p>
    <w:p w14:paraId="7EDB3161" w14:textId="77777777" w:rsidR="007D0A94" w:rsidRPr="005515C0" w:rsidRDefault="007D0A94" w:rsidP="007D0A94">
      <w:pPr>
        <w:rPr>
          <w:rFonts w:asciiTheme="minorHAnsi" w:hAnsiTheme="minorHAnsi"/>
          <w:b/>
        </w:rPr>
      </w:pPr>
      <w:r w:rsidRPr="005515C0">
        <w:rPr>
          <w:rFonts w:asciiTheme="minorHAnsi" w:hAnsiTheme="minorHAnsi"/>
          <w:b/>
        </w:rPr>
        <w:t>Honor Code Policy:</w:t>
      </w:r>
    </w:p>
    <w:p w14:paraId="3A0246EE" w14:textId="77777777" w:rsidR="007D0A94" w:rsidRPr="005515C0" w:rsidRDefault="007D0A94" w:rsidP="007D0A94">
      <w:pPr>
        <w:rPr>
          <w:rFonts w:asciiTheme="minorHAnsi" w:hAnsiTheme="minorHAnsi"/>
          <w:color w:val="000000"/>
          <w:sz w:val="20"/>
          <w:szCs w:val="20"/>
        </w:rPr>
      </w:pPr>
      <w:r w:rsidRPr="005515C0">
        <w:rPr>
          <w:rFonts w:asciiTheme="minorHAnsi" w:hAnsiTheme="minorHAns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14:paraId="0467F97F" w14:textId="77777777" w:rsidR="007D0A94" w:rsidRPr="005515C0" w:rsidRDefault="007D0A94" w:rsidP="007D0A94">
      <w:pPr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color w:val="000000"/>
          <w:sz w:val="20"/>
          <w:szCs w:val="20"/>
        </w:rPr>
        <w:t>For any violation of the BHS Honor Code, students will receive a 0 and be referred to the administration.</w:t>
      </w:r>
    </w:p>
    <w:p w14:paraId="23DB393B" w14:textId="77777777" w:rsidR="007D0A94" w:rsidRPr="005515C0" w:rsidRDefault="007D0A94" w:rsidP="007D0A94">
      <w:pPr>
        <w:tabs>
          <w:tab w:val="left" w:pos="1845"/>
        </w:tabs>
        <w:rPr>
          <w:rFonts w:asciiTheme="minorHAnsi" w:hAnsiTheme="minorHAnsi"/>
          <w:b/>
        </w:rPr>
      </w:pPr>
      <w:r w:rsidRPr="005515C0">
        <w:rPr>
          <w:rFonts w:asciiTheme="minorHAnsi" w:hAnsiTheme="minorHAnsi"/>
          <w:b/>
        </w:rPr>
        <w:t xml:space="preserve"> </w:t>
      </w:r>
      <w:r w:rsidRPr="005515C0">
        <w:rPr>
          <w:rFonts w:asciiTheme="minorHAnsi" w:hAnsiTheme="minorHAnsi"/>
          <w:b/>
        </w:rPr>
        <w:tab/>
      </w:r>
    </w:p>
    <w:p w14:paraId="2C2F59D6" w14:textId="77777777" w:rsidR="007D0A94" w:rsidRPr="005515C0" w:rsidRDefault="007D0A94" w:rsidP="007D0A94">
      <w:pPr>
        <w:rPr>
          <w:rFonts w:asciiTheme="minorHAnsi" w:hAnsiTheme="minorHAnsi"/>
          <w:b/>
        </w:rPr>
      </w:pPr>
      <w:r w:rsidRPr="005515C0">
        <w:rPr>
          <w:rFonts w:asciiTheme="minorHAnsi" w:hAnsiTheme="minorHAnsi"/>
          <w:b/>
        </w:rPr>
        <w:t>Attendance Excused Absence Policy:</w:t>
      </w:r>
    </w:p>
    <w:p w14:paraId="2F963292" w14:textId="77777777" w:rsidR="007D0A94" w:rsidRPr="005515C0" w:rsidRDefault="007D0A94" w:rsidP="007D0A94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 xml:space="preserve">Students who are granted </w:t>
      </w:r>
      <w:r w:rsidRPr="005515C0">
        <w:rPr>
          <w:rFonts w:asciiTheme="minorHAnsi" w:hAnsiTheme="minorHAnsi"/>
          <w:b/>
          <w:sz w:val="20"/>
          <w:szCs w:val="20"/>
        </w:rPr>
        <w:t>Excused Absent</w:t>
      </w:r>
      <w:r w:rsidRPr="005515C0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301EDDFC" w14:textId="77777777" w:rsidR="007D0A94" w:rsidRPr="005515C0" w:rsidRDefault="007D0A94" w:rsidP="007D0A94">
      <w:pPr>
        <w:pStyle w:val="SD-BodyText9pt"/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5515C0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 </w:t>
      </w:r>
    </w:p>
    <w:p w14:paraId="2B36E94F" w14:textId="77777777" w:rsidR="007D0A94" w:rsidRPr="005515C0" w:rsidRDefault="007D0A94" w:rsidP="007D0A94">
      <w:pPr>
        <w:pStyle w:val="SD-BodyText9pt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 xml:space="preserve">For </w:t>
      </w:r>
      <w:r w:rsidRPr="005515C0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5515C0">
        <w:rPr>
          <w:rFonts w:asciiTheme="minorHAnsi" w:hAnsiTheme="minorHAnsi"/>
          <w:sz w:val="20"/>
          <w:szCs w:val="20"/>
        </w:rPr>
        <w:t>, students will be given five days to arrange for make up work or follow other arrangements granted by the teacher.  All incomplete work carried over into a new marking period should be completed no later than the tenth day of the following period.</w:t>
      </w:r>
    </w:p>
    <w:p w14:paraId="74A15097" w14:textId="77777777" w:rsidR="007D0A94" w:rsidRPr="005515C0" w:rsidRDefault="007D0A94" w:rsidP="007D0A94">
      <w:pPr>
        <w:pStyle w:val="SD-BodyText9pt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9DA956" w14:textId="77777777" w:rsidR="007D0A94" w:rsidRPr="005515C0" w:rsidRDefault="007D0A94" w:rsidP="007D0A94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</w:pPr>
      <w:r w:rsidRPr="005515C0"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  <w:t>upon returning to school, it is the student’s responsibility to make arrangements Within 5 days to make up work.</w:t>
      </w:r>
    </w:p>
    <w:p w14:paraId="1A764B72" w14:textId="77777777" w:rsidR="007D0A94" w:rsidRPr="005515C0" w:rsidRDefault="007D0A94" w:rsidP="007D0A94">
      <w:pPr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> </w:t>
      </w:r>
    </w:p>
    <w:p w14:paraId="473909FD" w14:textId="77777777" w:rsidR="007D0A94" w:rsidRPr="005515C0" w:rsidRDefault="007D0A94" w:rsidP="007D0A94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5515C0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14:paraId="724103E0" w14:textId="77777777" w:rsidR="007D0A94" w:rsidRPr="005515C0" w:rsidRDefault="007D0A94" w:rsidP="007D0A94">
      <w:pPr>
        <w:rPr>
          <w:rFonts w:asciiTheme="minorHAnsi" w:hAnsiTheme="minorHAnsi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88"/>
      </w:tblGrid>
      <w:tr w:rsidR="007D0A94" w:rsidRPr="005515C0" w14:paraId="49616E5A" w14:textId="77777777" w:rsidTr="00B541B9">
        <w:tc>
          <w:tcPr>
            <w:tcW w:w="9648" w:type="dxa"/>
            <w:gridSpan w:val="2"/>
          </w:tcPr>
          <w:p w14:paraId="433EA7D4" w14:textId="77777777" w:rsidR="007D0A94" w:rsidRPr="005515C0" w:rsidRDefault="007D0A94" w:rsidP="00B541B9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14:paraId="55B948CE" w14:textId="77777777" w:rsidR="007D0A94" w:rsidRPr="005515C0" w:rsidRDefault="007D0A94" w:rsidP="00B541B9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5515C0">
              <w:rPr>
                <w:rFonts w:asciiTheme="minorHAnsi" w:hAnsiTheme="minorHAnsi"/>
                <w:b/>
                <w:caps/>
                <w:sz w:val="20"/>
                <w:szCs w:val="20"/>
              </w:rPr>
              <w:t>Teacher consequences for Minor Classroom Disruptions</w:t>
            </w:r>
          </w:p>
          <w:p w14:paraId="402AEA0B" w14:textId="77777777" w:rsidR="007D0A94" w:rsidRPr="005515C0" w:rsidRDefault="007D0A94" w:rsidP="00B541B9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</w:tc>
      </w:tr>
      <w:tr w:rsidR="007D0A94" w:rsidRPr="005515C0" w14:paraId="3E91AC78" w14:textId="77777777" w:rsidTr="00B541B9">
        <w:tc>
          <w:tcPr>
            <w:tcW w:w="1260" w:type="dxa"/>
          </w:tcPr>
          <w:p w14:paraId="39D3620A" w14:textId="77777777" w:rsidR="007D0A94" w:rsidRPr="005515C0" w:rsidRDefault="007D0A94" w:rsidP="00B541B9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1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st</w:t>
            </w:r>
            <w:r w:rsidRPr="005515C0">
              <w:rPr>
                <w:rFonts w:asciiTheme="minorHAnsi" w:hAnsiTheme="minorHAns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14:paraId="7D64F052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Penalty assigned at teacher’s discretion – Parent Contact</w:t>
            </w:r>
          </w:p>
          <w:p w14:paraId="24648010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</w:tr>
      <w:tr w:rsidR="007D0A94" w:rsidRPr="005515C0" w14:paraId="28F97872" w14:textId="77777777" w:rsidTr="00B541B9">
        <w:tc>
          <w:tcPr>
            <w:tcW w:w="1260" w:type="dxa"/>
          </w:tcPr>
          <w:p w14:paraId="75925C72" w14:textId="77777777" w:rsidR="007D0A94" w:rsidRPr="005515C0" w:rsidRDefault="007D0A94" w:rsidP="00B541B9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2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nd</w:t>
            </w:r>
          </w:p>
        </w:tc>
        <w:tc>
          <w:tcPr>
            <w:tcW w:w="8388" w:type="dxa"/>
          </w:tcPr>
          <w:p w14:paraId="0AF16DFD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30 minute faculty detention and parent contact</w:t>
            </w:r>
          </w:p>
          <w:p w14:paraId="6B153E07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A94" w:rsidRPr="005515C0" w14:paraId="06F8AB1E" w14:textId="77777777" w:rsidTr="00B541B9">
        <w:tc>
          <w:tcPr>
            <w:tcW w:w="1260" w:type="dxa"/>
          </w:tcPr>
          <w:p w14:paraId="058E8875" w14:textId="77777777" w:rsidR="007D0A94" w:rsidRPr="005515C0" w:rsidRDefault="007D0A94" w:rsidP="00B541B9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3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rd</w:t>
            </w:r>
            <w:r w:rsidRPr="005515C0">
              <w:rPr>
                <w:rFonts w:asciiTheme="minorHAnsi" w:hAnsiTheme="minorHAns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14:paraId="48159837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1 hour faculty detention and parent contact</w:t>
            </w:r>
          </w:p>
          <w:p w14:paraId="7F7D5A28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A94" w:rsidRPr="005515C0" w14:paraId="04D92383" w14:textId="77777777" w:rsidTr="00B541B9">
        <w:tc>
          <w:tcPr>
            <w:tcW w:w="1260" w:type="dxa"/>
          </w:tcPr>
          <w:p w14:paraId="0CC957AC" w14:textId="77777777" w:rsidR="007D0A94" w:rsidRPr="005515C0" w:rsidRDefault="007D0A94" w:rsidP="00B541B9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4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th</w:t>
            </w:r>
            <w:r w:rsidRPr="005515C0">
              <w:rPr>
                <w:rFonts w:asciiTheme="minorHAnsi" w:hAnsiTheme="minorHAns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14:paraId="233516B0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Administrative Referral</w:t>
            </w:r>
          </w:p>
          <w:p w14:paraId="46B41010" w14:textId="77777777" w:rsidR="007D0A94" w:rsidRPr="005515C0" w:rsidRDefault="007D0A94" w:rsidP="00B541B9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340912" w14:textId="77777777" w:rsidR="007D0A94" w:rsidRPr="005515C0" w:rsidRDefault="007D0A94" w:rsidP="007D0A94">
      <w:pPr>
        <w:rPr>
          <w:rFonts w:asciiTheme="minorHAnsi" w:hAnsiTheme="minorHAnsi"/>
        </w:rPr>
      </w:pPr>
    </w:p>
    <w:p w14:paraId="7C4CBF04" w14:textId="77777777" w:rsidR="007D0A94" w:rsidRPr="005515C0" w:rsidRDefault="007D0A94" w:rsidP="007D0A94">
      <w:pPr>
        <w:rPr>
          <w:rFonts w:asciiTheme="minorHAnsi" w:hAnsiTheme="minorHAnsi"/>
        </w:rPr>
      </w:pPr>
    </w:p>
    <w:p w14:paraId="27490799" w14:textId="2CC94B64" w:rsidR="007D0A94" w:rsidRPr="005515C0" w:rsidRDefault="007D0A94" w:rsidP="007D0A94">
      <w:pPr>
        <w:rPr>
          <w:rFonts w:asciiTheme="minorHAnsi" w:hAnsiTheme="minorHAnsi"/>
        </w:rPr>
      </w:pPr>
      <w:r w:rsidRPr="005515C0">
        <w:rPr>
          <w:rFonts w:asciiTheme="minorHAnsi" w:hAnsiTheme="minorHAnsi"/>
          <w:sz w:val="28"/>
          <w:szCs w:val="28"/>
        </w:rPr>
        <w:t>I have read and I unde</w:t>
      </w:r>
      <w:r w:rsidR="000C2DBB">
        <w:rPr>
          <w:rFonts w:asciiTheme="minorHAnsi" w:hAnsiTheme="minorHAnsi"/>
          <w:sz w:val="28"/>
          <w:szCs w:val="28"/>
        </w:rPr>
        <w:t>rstand the syllabus for AP English Language</w:t>
      </w:r>
      <w:r w:rsidR="00DC72FE">
        <w:rPr>
          <w:rFonts w:asciiTheme="minorHAnsi" w:hAnsiTheme="minorHAnsi"/>
          <w:sz w:val="28"/>
          <w:szCs w:val="28"/>
        </w:rPr>
        <w:t xml:space="preserve"> &amp; Composition</w:t>
      </w:r>
      <w:r w:rsidRPr="005515C0">
        <w:rPr>
          <w:rFonts w:asciiTheme="minorHAnsi" w:hAnsiTheme="minorHAnsi"/>
          <w:sz w:val="28"/>
          <w:szCs w:val="28"/>
        </w:rPr>
        <w:t>. </w:t>
      </w:r>
    </w:p>
    <w:p w14:paraId="37B537E6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 </w:t>
      </w:r>
    </w:p>
    <w:p w14:paraId="3E2E38B0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Student’s name: _________________________________</w:t>
      </w:r>
    </w:p>
    <w:p w14:paraId="0E419261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</w:p>
    <w:p w14:paraId="04994FEF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  <w:u w:val="single"/>
        </w:rPr>
      </w:pPr>
      <w:r w:rsidRPr="005515C0">
        <w:rPr>
          <w:rFonts w:asciiTheme="minorHAnsi" w:hAnsiTheme="minorHAnsi"/>
          <w:sz w:val="28"/>
          <w:szCs w:val="28"/>
        </w:rPr>
        <w:t>Student’s e-mail:</w:t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</w:p>
    <w:p w14:paraId="089C3C40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  <w:u w:val="single"/>
        </w:rPr>
      </w:pPr>
    </w:p>
    <w:p w14:paraId="6CC00E1B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Student’s signature:  _____________________________</w:t>
      </w:r>
    </w:p>
    <w:p w14:paraId="1EEA1E1E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</w:p>
    <w:p w14:paraId="16922590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Parent’s name:  _________________________________</w:t>
      </w:r>
    </w:p>
    <w:p w14:paraId="7FB7D5C8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</w:p>
    <w:p w14:paraId="4A915D01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Parent’s e-mail:</w:t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</w:p>
    <w:p w14:paraId="45A9D93D" w14:textId="77777777" w:rsidR="007D0A94" w:rsidRPr="005515C0" w:rsidRDefault="007D0A94" w:rsidP="007D0A94">
      <w:pPr>
        <w:rPr>
          <w:rFonts w:asciiTheme="minorHAnsi" w:hAnsiTheme="minorHAnsi"/>
          <w:sz w:val="28"/>
          <w:szCs w:val="28"/>
        </w:rPr>
      </w:pPr>
    </w:p>
    <w:p w14:paraId="1FFFC5E4" w14:textId="77777777" w:rsidR="007D0A94" w:rsidRPr="005515C0" w:rsidRDefault="007D0A94" w:rsidP="007D0A94">
      <w:pPr>
        <w:rPr>
          <w:rFonts w:asciiTheme="minorHAnsi" w:hAnsiTheme="minorHAnsi"/>
        </w:rPr>
      </w:pPr>
      <w:r w:rsidRPr="005515C0">
        <w:rPr>
          <w:rFonts w:asciiTheme="minorHAnsi" w:hAnsiTheme="minorHAnsi"/>
          <w:sz w:val="28"/>
          <w:szCs w:val="28"/>
        </w:rPr>
        <w:t>Parent’s signature:  ______________________________</w:t>
      </w:r>
    </w:p>
    <w:p w14:paraId="32576F4E" w14:textId="77777777" w:rsidR="007D0A94" w:rsidRPr="005515C0" w:rsidRDefault="007D0A94" w:rsidP="007D0A94">
      <w:pPr>
        <w:rPr>
          <w:rFonts w:asciiTheme="minorHAnsi" w:hAnsiTheme="minorHAnsi"/>
        </w:rPr>
      </w:pPr>
    </w:p>
    <w:p w14:paraId="5F55D502" w14:textId="77777777" w:rsidR="007D0A94" w:rsidRPr="00DC03AC" w:rsidRDefault="007D0A94" w:rsidP="007D0A94">
      <w:pPr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7AD9871D" w14:textId="77777777" w:rsidR="007D0A94" w:rsidRPr="007D0A94" w:rsidRDefault="007D0A94" w:rsidP="007D0A94">
      <w:pPr>
        <w:rPr>
          <w:rFonts w:asciiTheme="minorHAnsi" w:hAnsiTheme="minorHAnsi"/>
          <w:sz w:val="18"/>
          <w:szCs w:val="18"/>
        </w:rPr>
      </w:pPr>
    </w:p>
    <w:sectPr w:rsidR="007D0A94" w:rsidRPr="007D0A94" w:rsidSect="008F3DB0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60CF" w14:textId="77777777" w:rsidR="00CE3348" w:rsidRDefault="00CE3348" w:rsidP="00AE231C">
      <w:r>
        <w:separator/>
      </w:r>
    </w:p>
  </w:endnote>
  <w:endnote w:type="continuationSeparator" w:id="0">
    <w:p w14:paraId="4DBFFDC3" w14:textId="77777777" w:rsidR="00CE3348" w:rsidRDefault="00CE3348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DF17" w14:textId="77777777" w:rsidR="00AD511F" w:rsidRPr="004E613A" w:rsidRDefault="00AD511F" w:rsidP="00AE231C">
    <w:pPr>
      <w:jc w:val="right"/>
      <w:rPr>
        <w:sz w:val="18"/>
        <w:szCs w:val="18"/>
      </w:rPr>
    </w:pPr>
  </w:p>
  <w:p w14:paraId="77263E7C" w14:textId="77777777" w:rsidR="00AD511F" w:rsidRDefault="00AD51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15821" w14:textId="77777777" w:rsidR="00CE3348" w:rsidRDefault="00CE3348" w:rsidP="00AE231C">
      <w:r>
        <w:separator/>
      </w:r>
    </w:p>
  </w:footnote>
  <w:footnote w:type="continuationSeparator" w:id="0">
    <w:p w14:paraId="230F4838" w14:textId="77777777" w:rsidR="00CE3348" w:rsidRDefault="00CE3348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u w:color="000000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Symbol" w:eastAsia="Symbol" w:hAnsi="Symbol" w:hint="default"/>
        <w:color w:val="000000"/>
        <w:position w:val="0"/>
        <w:u w:color="00000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u w:color="00000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u w:color="00000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u w:color="00000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u w:color="000000"/>
      </w:rPr>
    </w:lvl>
  </w:abstractNum>
  <w:abstractNum w:abstractNumId="1">
    <w:nsid w:val="00D63C32"/>
    <w:multiLevelType w:val="hybridMultilevel"/>
    <w:tmpl w:val="FC20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71462"/>
    <w:multiLevelType w:val="hybridMultilevel"/>
    <w:tmpl w:val="51D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83B8A"/>
    <w:rsid w:val="00092987"/>
    <w:rsid w:val="000C2DBB"/>
    <w:rsid w:val="000C4555"/>
    <w:rsid w:val="000C5238"/>
    <w:rsid w:val="000E45FA"/>
    <w:rsid w:val="0010087E"/>
    <w:rsid w:val="0012295A"/>
    <w:rsid w:val="001246F3"/>
    <w:rsid w:val="00130CAE"/>
    <w:rsid w:val="00147747"/>
    <w:rsid w:val="001607C0"/>
    <w:rsid w:val="00161E4F"/>
    <w:rsid w:val="001673C4"/>
    <w:rsid w:val="0019082C"/>
    <w:rsid w:val="001E0EE6"/>
    <w:rsid w:val="0020768D"/>
    <w:rsid w:val="00207B8D"/>
    <w:rsid w:val="00212637"/>
    <w:rsid w:val="00214B85"/>
    <w:rsid w:val="00235E30"/>
    <w:rsid w:val="00241F52"/>
    <w:rsid w:val="00257955"/>
    <w:rsid w:val="00261534"/>
    <w:rsid w:val="00267644"/>
    <w:rsid w:val="00267C8C"/>
    <w:rsid w:val="002775C7"/>
    <w:rsid w:val="002B2DB4"/>
    <w:rsid w:val="002F1740"/>
    <w:rsid w:val="00321E78"/>
    <w:rsid w:val="00337295"/>
    <w:rsid w:val="0038470B"/>
    <w:rsid w:val="003975FA"/>
    <w:rsid w:val="003A3AD9"/>
    <w:rsid w:val="003B423D"/>
    <w:rsid w:val="003B6719"/>
    <w:rsid w:val="003B7A28"/>
    <w:rsid w:val="003D1626"/>
    <w:rsid w:val="00404A64"/>
    <w:rsid w:val="00424FC9"/>
    <w:rsid w:val="004274F1"/>
    <w:rsid w:val="00447ED5"/>
    <w:rsid w:val="00450D93"/>
    <w:rsid w:val="00454E08"/>
    <w:rsid w:val="004634BF"/>
    <w:rsid w:val="004749BD"/>
    <w:rsid w:val="00485EAA"/>
    <w:rsid w:val="004A31F3"/>
    <w:rsid w:val="004B0EB7"/>
    <w:rsid w:val="004D1B55"/>
    <w:rsid w:val="004E613A"/>
    <w:rsid w:val="004F4E6B"/>
    <w:rsid w:val="00507DBB"/>
    <w:rsid w:val="005401AE"/>
    <w:rsid w:val="005655A1"/>
    <w:rsid w:val="005A556C"/>
    <w:rsid w:val="005A5F6E"/>
    <w:rsid w:val="005D36DB"/>
    <w:rsid w:val="005D7DA5"/>
    <w:rsid w:val="005E4A77"/>
    <w:rsid w:val="005E58D8"/>
    <w:rsid w:val="005F3EDC"/>
    <w:rsid w:val="00617E9F"/>
    <w:rsid w:val="006272F0"/>
    <w:rsid w:val="00632B78"/>
    <w:rsid w:val="00652A3B"/>
    <w:rsid w:val="00691718"/>
    <w:rsid w:val="006D08C3"/>
    <w:rsid w:val="006D1BCB"/>
    <w:rsid w:val="006F37D0"/>
    <w:rsid w:val="006F7026"/>
    <w:rsid w:val="00707896"/>
    <w:rsid w:val="00710FC7"/>
    <w:rsid w:val="007246A6"/>
    <w:rsid w:val="00727179"/>
    <w:rsid w:val="0073690A"/>
    <w:rsid w:val="0076793A"/>
    <w:rsid w:val="0078704B"/>
    <w:rsid w:val="007D0A94"/>
    <w:rsid w:val="00801D6F"/>
    <w:rsid w:val="0080315B"/>
    <w:rsid w:val="0080392D"/>
    <w:rsid w:val="0081242B"/>
    <w:rsid w:val="008171C0"/>
    <w:rsid w:val="00820238"/>
    <w:rsid w:val="0082458E"/>
    <w:rsid w:val="00826DEB"/>
    <w:rsid w:val="00834AB8"/>
    <w:rsid w:val="008570CB"/>
    <w:rsid w:val="00870A00"/>
    <w:rsid w:val="008B3B26"/>
    <w:rsid w:val="008B3BD2"/>
    <w:rsid w:val="008B3C00"/>
    <w:rsid w:val="008B6C50"/>
    <w:rsid w:val="008E078B"/>
    <w:rsid w:val="008E7A44"/>
    <w:rsid w:val="008F3DB0"/>
    <w:rsid w:val="00905809"/>
    <w:rsid w:val="00942A3B"/>
    <w:rsid w:val="0094418A"/>
    <w:rsid w:val="009466E9"/>
    <w:rsid w:val="009534E4"/>
    <w:rsid w:val="009577EB"/>
    <w:rsid w:val="00977BDF"/>
    <w:rsid w:val="009950A0"/>
    <w:rsid w:val="00995D3F"/>
    <w:rsid w:val="009A1E92"/>
    <w:rsid w:val="009B6977"/>
    <w:rsid w:val="00A04BCF"/>
    <w:rsid w:val="00A21CEC"/>
    <w:rsid w:val="00A41C3D"/>
    <w:rsid w:val="00A67C4D"/>
    <w:rsid w:val="00AA4323"/>
    <w:rsid w:val="00AA499E"/>
    <w:rsid w:val="00AD1992"/>
    <w:rsid w:val="00AD511F"/>
    <w:rsid w:val="00AE231C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A2D9C"/>
    <w:rsid w:val="00BD1B98"/>
    <w:rsid w:val="00BD6B6F"/>
    <w:rsid w:val="00BE7A67"/>
    <w:rsid w:val="00C247B8"/>
    <w:rsid w:val="00C55F73"/>
    <w:rsid w:val="00C91994"/>
    <w:rsid w:val="00CC25BA"/>
    <w:rsid w:val="00CC46E0"/>
    <w:rsid w:val="00CC56B7"/>
    <w:rsid w:val="00CE2919"/>
    <w:rsid w:val="00CE3348"/>
    <w:rsid w:val="00D17C0A"/>
    <w:rsid w:val="00D27708"/>
    <w:rsid w:val="00D76244"/>
    <w:rsid w:val="00DA09FC"/>
    <w:rsid w:val="00DA474D"/>
    <w:rsid w:val="00DB6A25"/>
    <w:rsid w:val="00DC72FE"/>
    <w:rsid w:val="00DD2DB4"/>
    <w:rsid w:val="00DF29F2"/>
    <w:rsid w:val="00E00D4A"/>
    <w:rsid w:val="00E03A4E"/>
    <w:rsid w:val="00E10299"/>
    <w:rsid w:val="00E40CB8"/>
    <w:rsid w:val="00E52325"/>
    <w:rsid w:val="00E5530B"/>
    <w:rsid w:val="00E5631C"/>
    <w:rsid w:val="00E65CFE"/>
    <w:rsid w:val="00E85008"/>
    <w:rsid w:val="00EA3FA9"/>
    <w:rsid w:val="00EC786C"/>
    <w:rsid w:val="00EE4F43"/>
    <w:rsid w:val="00F0227C"/>
    <w:rsid w:val="00F17B92"/>
    <w:rsid w:val="00F3598E"/>
    <w:rsid w:val="00F40D78"/>
    <w:rsid w:val="00F72E8D"/>
    <w:rsid w:val="00F90BC7"/>
    <w:rsid w:val="00F92D78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E2E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6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6F3"/>
    <w:rPr>
      <w:color w:val="800080" w:themeColor="followedHyperlink"/>
      <w:u w:val="single"/>
    </w:rPr>
  </w:style>
  <w:style w:type="paragraph" w:customStyle="1" w:styleId="SD-BodyText9pt">
    <w:name w:val="SD-Body Text 9pt"/>
    <w:basedOn w:val="Normal"/>
    <w:rsid w:val="007D0A94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7D0A94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7D0A94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7D0A94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6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6F3"/>
    <w:rPr>
      <w:color w:val="800080" w:themeColor="followedHyperlink"/>
      <w:u w:val="single"/>
    </w:rPr>
  </w:style>
  <w:style w:type="paragraph" w:customStyle="1" w:styleId="SD-BodyText9pt">
    <w:name w:val="SD-Body Text 9pt"/>
    <w:basedOn w:val="Normal"/>
    <w:rsid w:val="007D0A94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7D0A94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7D0A94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7D0A94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hsbarton.weebly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andon.barton@bufordcityschools.org" TargetMode="External"/><Relationship Id="rId10" Type="http://schemas.openxmlformats.org/officeDocument/2006/relationships/hyperlink" Target="https://www.georgiastand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9D43D-3417-A049-A683-6800A48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Brandon Barton</cp:lastModifiedBy>
  <cp:revision>3</cp:revision>
  <cp:lastPrinted>2011-05-10T18:50:00Z</cp:lastPrinted>
  <dcterms:created xsi:type="dcterms:W3CDTF">2016-07-28T12:29:00Z</dcterms:created>
  <dcterms:modified xsi:type="dcterms:W3CDTF">2016-08-01T13:52:00Z</dcterms:modified>
</cp:coreProperties>
</file>